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B8718">
      <w:pPr>
        <w:spacing w:before="177" w:line="219" w:lineRule="auto"/>
        <w:jc w:val="center"/>
        <w:rPr>
          <w:rFonts w:ascii="宋体" w:hAnsi="宋体" w:eastAsia="宋体" w:cs="宋体"/>
          <w:b/>
          <w:bCs/>
          <w:snapToGrid w:val="0"/>
          <w:color w:val="000000"/>
          <w:spacing w:val="3"/>
          <w:kern w:val="0"/>
          <w:sz w:val="44"/>
          <w:szCs w:val="44"/>
          <w:lang w:val="en-US" w:eastAsia="en-US" w:bidi="ar-SA"/>
        </w:rPr>
      </w:pPr>
      <w:bookmarkStart w:id="0" w:name="_GoBack"/>
      <w:r>
        <w:rPr>
          <w:rFonts w:ascii="宋体" w:hAnsi="宋体" w:eastAsia="宋体" w:cs="宋体"/>
          <w:b/>
          <w:bCs/>
          <w:snapToGrid w:val="0"/>
          <w:color w:val="000000"/>
          <w:spacing w:val="3"/>
          <w:kern w:val="0"/>
          <w:sz w:val="44"/>
          <w:szCs w:val="44"/>
          <w:lang w:val="en-US" w:eastAsia="en-US" w:bidi="ar-SA"/>
        </w:rPr>
        <w:t>三门峡市应急管理专家行业领域分类表</w:t>
      </w:r>
    </w:p>
    <w:bookmarkEnd w:id="0"/>
    <w:p w14:paraId="2A83EFF9">
      <w:pPr>
        <w:spacing w:line="162" w:lineRule="exact"/>
      </w:pPr>
    </w:p>
    <w:tbl>
      <w:tblPr>
        <w:tblStyle w:val="7"/>
        <w:tblW w:w="10566" w:type="dxa"/>
        <w:tblInd w:w="-8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0"/>
        <w:gridCol w:w="1963"/>
        <w:gridCol w:w="6483"/>
      </w:tblGrid>
      <w:tr w14:paraId="6404F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120" w:type="dxa"/>
            <w:vAlign w:val="top"/>
          </w:tcPr>
          <w:p w14:paraId="5DCC593C">
            <w:pPr>
              <w:pStyle w:val="6"/>
              <w:spacing w:before="231" w:line="219" w:lineRule="auto"/>
              <w:ind w:left="188"/>
              <w:jc w:val="center"/>
            </w:pPr>
            <w:r>
              <w:rPr>
                <w:rFonts w:hint="eastAsia"/>
                <w:b/>
                <w:bCs/>
                <w:spacing w:val="3"/>
                <w:lang w:val="en-US" w:eastAsia="zh-CN"/>
              </w:rPr>
              <w:t>领域</w:t>
            </w: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1963" w:type="dxa"/>
            <w:vAlign w:val="top"/>
          </w:tcPr>
          <w:p w14:paraId="47817440">
            <w:pPr>
              <w:pStyle w:val="6"/>
              <w:spacing w:before="232" w:line="22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b/>
                <w:bCs/>
                <w:spacing w:val="-6"/>
              </w:rPr>
              <w:t>行业</w:t>
            </w:r>
            <w:r>
              <w:rPr>
                <w:rFonts w:hint="eastAsia"/>
                <w:b/>
                <w:bCs/>
                <w:spacing w:val="-6"/>
                <w:lang w:val="en-US" w:eastAsia="zh-CN"/>
              </w:rPr>
              <w:t>组别</w:t>
            </w:r>
          </w:p>
        </w:tc>
        <w:tc>
          <w:tcPr>
            <w:tcW w:w="6483" w:type="dxa"/>
            <w:vAlign w:val="top"/>
          </w:tcPr>
          <w:p w14:paraId="32DF0E8D">
            <w:pPr>
              <w:pStyle w:val="6"/>
              <w:spacing w:before="232" w:line="220" w:lineRule="auto"/>
              <w:ind w:left="2656"/>
              <w:rPr>
                <w:rFonts w:hint="eastAsia" w:eastAsia="宋体"/>
                <w:lang w:val="en-US" w:eastAsia="zh-CN"/>
              </w:rPr>
            </w:pPr>
            <w:r>
              <w:rPr>
                <w:b/>
                <w:bCs/>
                <w:spacing w:val="-5"/>
              </w:rPr>
              <w:t>专业</w:t>
            </w:r>
            <w:r>
              <w:rPr>
                <w:rFonts w:hint="eastAsia"/>
                <w:b/>
                <w:bCs/>
                <w:spacing w:val="-5"/>
                <w:lang w:val="en-US" w:eastAsia="zh-CN"/>
              </w:rPr>
              <w:t>方向</w:t>
            </w:r>
          </w:p>
        </w:tc>
      </w:tr>
      <w:tr w14:paraId="0160D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2" w:hRule="atLeast"/>
        </w:trPr>
        <w:tc>
          <w:tcPr>
            <w:tcW w:w="2120" w:type="dxa"/>
            <w:vMerge w:val="restart"/>
            <w:tcBorders>
              <w:bottom w:val="nil"/>
            </w:tcBorders>
            <w:vAlign w:val="top"/>
          </w:tcPr>
          <w:p w14:paraId="634F2B5B">
            <w:pPr>
              <w:spacing w:line="255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DFF0F9F">
            <w:pPr>
              <w:spacing w:line="255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3F2E070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ACBAF0C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8D71510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EC0E44B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DB8B3EA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B6D4E07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3AB079C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455F0CE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5DB0673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CF46796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C4994E9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794F692">
            <w:pPr>
              <w:spacing w:line="256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91EA61A">
            <w:pPr>
              <w:pStyle w:val="6"/>
              <w:spacing w:before="78" w:line="221" w:lineRule="auto"/>
              <w:ind w:left="185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安全</w:t>
            </w:r>
            <w:r>
              <w:rPr>
                <w:rFonts w:hint="eastAsia" w:ascii="仿宋" w:hAnsi="仿宋" w:eastAsia="仿宋" w:cs="仿宋"/>
                <w:spacing w:val="7"/>
                <w:sz w:val="28"/>
                <w:szCs w:val="28"/>
              </w:rPr>
              <w:t>生产</w:t>
            </w:r>
            <w:r>
              <w:rPr>
                <w:rFonts w:hint="eastAsia" w:ascii="仿宋" w:hAnsi="仿宋" w:eastAsia="仿宋" w:cs="仿宋"/>
                <w:spacing w:val="7"/>
                <w:sz w:val="28"/>
                <w:szCs w:val="28"/>
                <w:lang w:val="en-US" w:eastAsia="zh-CN"/>
              </w:rPr>
              <w:t>类</w:t>
            </w:r>
          </w:p>
        </w:tc>
        <w:tc>
          <w:tcPr>
            <w:tcW w:w="1963" w:type="dxa"/>
            <w:vAlign w:val="center"/>
          </w:tcPr>
          <w:p w14:paraId="06702AD6">
            <w:pPr>
              <w:pStyle w:val="6"/>
              <w:spacing w:before="161" w:line="21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煤矿</w:t>
            </w: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  <w:lang w:val="en-US" w:eastAsia="zh-CN"/>
              </w:rPr>
              <w:t>组</w:t>
            </w:r>
          </w:p>
        </w:tc>
        <w:tc>
          <w:tcPr>
            <w:tcW w:w="6483" w:type="dxa"/>
            <w:vAlign w:val="center"/>
          </w:tcPr>
          <w:p w14:paraId="41EE2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工程地质（水文地质、地质矿产勘查）、采矿工程（井工）、“一通三防”、采矿工程（露天）、机电运输、矿井通风与瓦斯防治、水害防治、煤矿安全管理、冲击地压、边坡管理、井巷工程、矿井建设、矿压与顶板安全、岩土工程、电气与自动化等专业。</w:t>
            </w:r>
          </w:p>
        </w:tc>
      </w:tr>
      <w:tr w14:paraId="70C18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6" w:hRule="atLeast"/>
        </w:trPr>
        <w:tc>
          <w:tcPr>
            <w:tcW w:w="2120" w:type="dxa"/>
            <w:vMerge w:val="continue"/>
            <w:tcBorders>
              <w:top w:val="nil"/>
              <w:bottom w:val="nil"/>
            </w:tcBorders>
            <w:vAlign w:val="top"/>
          </w:tcPr>
          <w:p w14:paraId="7381BD9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542415D9">
            <w:pPr>
              <w:pStyle w:val="6"/>
              <w:spacing w:before="271" w:line="21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7"/>
                <w:sz w:val="28"/>
                <w:szCs w:val="28"/>
              </w:rPr>
              <w:t>非煤矿山</w:t>
            </w:r>
            <w:r>
              <w:rPr>
                <w:rFonts w:hint="eastAsia" w:ascii="仿宋" w:hAnsi="仿宋" w:eastAsia="仿宋" w:cs="仿宋"/>
                <w:spacing w:val="7"/>
                <w:sz w:val="28"/>
                <w:szCs w:val="28"/>
                <w:lang w:val="en-US" w:eastAsia="zh-CN"/>
              </w:rPr>
              <w:t>组</w:t>
            </w:r>
          </w:p>
        </w:tc>
        <w:tc>
          <w:tcPr>
            <w:tcW w:w="6483" w:type="dxa"/>
            <w:vAlign w:val="center"/>
          </w:tcPr>
          <w:p w14:paraId="50F2B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工程地质（水文地质、地质矿产勘查）、地下采矿、露天采矿、矿井通风、水害防治、矿山机械及提升运输、电气与自动化、矿井建设、井巷工程、岩土工程、矿物资源工程、边坡工程、矿山安全管理（金属非金属矿山）、矿井通风与安全、选矿工程（矿物加工）、尾矿库安全等专业。</w:t>
            </w:r>
          </w:p>
        </w:tc>
      </w:tr>
      <w:tr w14:paraId="26E23B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2120" w:type="dxa"/>
            <w:vMerge w:val="continue"/>
            <w:tcBorders>
              <w:top w:val="nil"/>
              <w:bottom w:val="nil"/>
            </w:tcBorders>
            <w:vAlign w:val="top"/>
          </w:tcPr>
          <w:p w14:paraId="569463E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7E7438D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7" w:line="3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position w:val="0"/>
                <w:sz w:val="28"/>
                <w:szCs w:val="28"/>
              </w:rPr>
              <w:t>化工和危险化学品组</w:t>
            </w:r>
          </w:p>
        </w:tc>
        <w:tc>
          <w:tcPr>
            <w:tcW w:w="6483" w:type="dxa"/>
            <w:vAlign w:val="center"/>
          </w:tcPr>
          <w:p w14:paraId="6581E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总图设计、化工工艺（石油化工、基础化工、精细化工）、电气仪表与自动化控制、化工设备、化工安全管理、油气储运、陆上石油和天然气开采、烟花爆竹等专业。</w:t>
            </w:r>
          </w:p>
        </w:tc>
      </w:tr>
      <w:tr w14:paraId="2A0ED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2120" w:type="dxa"/>
            <w:vMerge w:val="continue"/>
            <w:tcBorders>
              <w:top w:val="nil"/>
              <w:bottom w:val="nil"/>
            </w:tcBorders>
            <w:vAlign w:val="top"/>
          </w:tcPr>
          <w:p w14:paraId="28B4716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252C0DB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工贸组</w:t>
            </w:r>
          </w:p>
        </w:tc>
        <w:tc>
          <w:tcPr>
            <w:tcW w:w="6483" w:type="dxa"/>
            <w:vAlign w:val="center"/>
          </w:tcPr>
          <w:p w14:paraId="00E8E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冶金、有色、建材、机械、轻工、纺织、烟草、电气工程及其自动化、通风与空调工程、涉氨制冷、涉爆粉尘、有限空间等专业。</w:t>
            </w:r>
          </w:p>
        </w:tc>
      </w:tr>
      <w:tr w14:paraId="4F21E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2120" w:type="dxa"/>
            <w:vMerge w:val="continue"/>
            <w:tcBorders>
              <w:top w:val="nil"/>
              <w:bottom w:val="nil"/>
            </w:tcBorders>
            <w:vAlign w:val="top"/>
          </w:tcPr>
          <w:p w14:paraId="552D61F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79846A6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建筑施工组</w:t>
            </w:r>
          </w:p>
        </w:tc>
        <w:tc>
          <w:tcPr>
            <w:tcW w:w="6483" w:type="dxa"/>
            <w:vAlign w:val="center"/>
          </w:tcPr>
          <w:p w14:paraId="3450A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建筑学、土木工程、市政工程、建筑安全等专业。</w:t>
            </w:r>
          </w:p>
        </w:tc>
      </w:tr>
      <w:tr w14:paraId="625EC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2120" w:type="dxa"/>
            <w:vMerge w:val="continue"/>
            <w:tcBorders>
              <w:top w:val="nil"/>
              <w:bottom w:val="nil"/>
            </w:tcBorders>
            <w:vAlign w:val="top"/>
          </w:tcPr>
          <w:p w14:paraId="22B8232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001432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城镇燃气组</w:t>
            </w:r>
          </w:p>
        </w:tc>
        <w:tc>
          <w:tcPr>
            <w:tcW w:w="6483" w:type="dxa"/>
            <w:vAlign w:val="center"/>
          </w:tcPr>
          <w:p w14:paraId="0333E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城市燃气工程技术、天然气供应安全管理、液化石油气供应安全管理等专业。</w:t>
            </w:r>
          </w:p>
        </w:tc>
      </w:tr>
      <w:tr w14:paraId="2B179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</w:trPr>
        <w:tc>
          <w:tcPr>
            <w:tcW w:w="2120" w:type="dxa"/>
            <w:vMerge w:val="continue"/>
            <w:tcBorders>
              <w:top w:val="nil"/>
              <w:bottom w:val="nil"/>
            </w:tcBorders>
            <w:vAlign w:val="top"/>
          </w:tcPr>
          <w:p w14:paraId="5A7189D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22A4BD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消防组</w:t>
            </w:r>
          </w:p>
        </w:tc>
        <w:tc>
          <w:tcPr>
            <w:tcW w:w="6483" w:type="dxa"/>
            <w:vAlign w:val="center"/>
          </w:tcPr>
          <w:p w14:paraId="3A5E2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消防工程技术、建筑消防技术、消防设备检测等专业。</w:t>
            </w:r>
          </w:p>
        </w:tc>
      </w:tr>
      <w:tr w14:paraId="5D245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120" w:type="dxa"/>
            <w:vMerge w:val="continue"/>
            <w:tcBorders>
              <w:top w:val="nil"/>
              <w:bottom w:val="nil"/>
            </w:tcBorders>
            <w:vAlign w:val="top"/>
          </w:tcPr>
          <w:p w14:paraId="5F1A1B0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452EC3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特种设备组</w:t>
            </w:r>
          </w:p>
        </w:tc>
        <w:tc>
          <w:tcPr>
            <w:tcW w:w="6483" w:type="dxa"/>
            <w:vAlign w:val="center"/>
          </w:tcPr>
          <w:p w14:paraId="7035B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锅炉、压力容器、压力管道、电梯、起重机械、场（厂）内专用机动车辆检验检测等专业。</w:t>
            </w:r>
          </w:p>
        </w:tc>
      </w:tr>
      <w:tr w14:paraId="17EFF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20" w:type="dxa"/>
            <w:vMerge w:val="continue"/>
            <w:tcBorders>
              <w:top w:val="nil"/>
              <w:bottom w:val="nil"/>
            </w:tcBorders>
            <w:vAlign w:val="top"/>
          </w:tcPr>
          <w:p w14:paraId="0A93263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004039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民爆组</w:t>
            </w:r>
          </w:p>
        </w:tc>
        <w:tc>
          <w:tcPr>
            <w:tcW w:w="6483" w:type="dxa"/>
            <w:vAlign w:val="center"/>
          </w:tcPr>
          <w:p w14:paraId="3616F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爆破作业、民用爆炸物品储运等专业。</w:t>
            </w:r>
          </w:p>
        </w:tc>
      </w:tr>
      <w:tr w14:paraId="2715A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2120" w:type="dxa"/>
            <w:vMerge w:val="continue"/>
            <w:tcBorders>
              <w:top w:val="nil"/>
              <w:bottom w:val="nil"/>
            </w:tcBorders>
            <w:vAlign w:val="top"/>
          </w:tcPr>
          <w:p w14:paraId="0FEDD37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6313D81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能源电力组</w:t>
            </w:r>
          </w:p>
        </w:tc>
        <w:tc>
          <w:tcPr>
            <w:tcW w:w="6483" w:type="dxa"/>
            <w:vAlign w:val="center"/>
          </w:tcPr>
          <w:p w14:paraId="34B1F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火力发电、风力发电、太阳能发电和生物质发电、其他电力生产、电力供应等专业。</w:t>
            </w:r>
          </w:p>
        </w:tc>
      </w:tr>
      <w:tr w14:paraId="20FA2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2120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2AB643B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7E6C91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交通运输组</w:t>
            </w:r>
          </w:p>
        </w:tc>
        <w:tc>
          <w:tcPr>
            <w:tcW w:w="6483" w:type="dxa"/>
            <w:vAlign w:val="center"/>
          </w:tcPr>
          <w:p w14:paraId="4726E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交通运输、交通工程、交通设备与控制工程、公路水运工程、铁路运输、航空运输智慧交通、物流工程等专业。</w:t>
            </w:r>
          </w:p>
        </w:tc>
      </w:tr>
      <w:tr w14:paraId="6B092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2120" w:type="dxa"/>
            <w:tcBorders>
              <w:bottom w:val="nil"/>
            </w:tcBorders>
            <w:vAlign w:val="top"/>
          </w:tcPr>
          <w:p w14:paraId="57E3CB19">
            <w:pPr>
              <w:pStyle w:val="6"/>
              <w:spacing w:before="231" w:line="219" w:lineRule="auto"/>
              <w:ind w:left="188" w:leftChars="0"/>
              <w:jc w:val="center"/>
              <w:rPr>
                <w:rFonts w:hint="eastAsia"/>
                <w:b/>
                <w:bCs/>
                <w:spacing w:val="3"/>
                <w:lang w:val="en-US" w:eastAsia="zh-CN"/>
              </w:rPr>
            </w:pPr>
            <w:r>
              <w:rPr>
                <w:rFonts w:hint="eastAsia"/>
                <w:b/>
                <w:bCs/>
                <w:spacing w:val="3"/>
                <w:lang w:val="en-US" w:eastAsia="zh-CN"/>
              </w:rPr>
              <w:t>领域</w:t>
            </w: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1963" w:type="dxa"/>
            <w:vAlign w:val="top"/>
          </w:tcPr>
          <w:p w14:paraId="6C7D59CA">
            <w:pPr>
              <w:pStyle w:val="6"/>
              <w:spacing w:before="232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b/>
                <w:bCs/>
                <w:spacing w:val="-6"/>
              </w:rPr>
              <w:t>行业</w:t>
            </w:r>
            <w:r>
              <w:rPr>
                <w:rFonts w:hint="eastAsia"/>
                <w:b/>
                <w:bCs/>
                <w:spacing w:val="-6"/>
                <w:lang w:val="en-US" w:eastAsia="zh-CN"/>
              </w:rPr>
              <w:t>组别</w:t>
            </w:r>
          </w:p>
        </w:tc>
        <w:tc>
          <w:tcPr>
            <w:tcW w:w="6483" w:type="dxa"/>
            <w:vAlign w:val="top"/>
          </w:tcPr>
          <w:p w14:paraId="57BCB11F">
            <w:pPr>
              <w:pStyle w:val="6"/>
              <w:spacing w:before="232" w:line="220" w:lineRule="auto"/>
              <w:ind w:left="2656" w:leftChars="0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b/>
                <w:bCs/>
                <w:spacing w:val="-5"/>
              </w:rPr>
              <w:t>专业</w:t>
            </w:r>
            <w:r>
              <w:rPr>
                <w:rFonts w:hint="eastAsia"/>
                <w:b/>
                <w:bCs/>
                <w:spacing w:val="-5"/>
                <w:lang w:val="en-US" w:eastAsia="zh-CN"/>
              </w:rPr>
              <w:t>方向</w:t>
            </w:r>
          </w:p>
        </w:tc>
      </w:tr>
      <w:tr w14:paraId="79241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2120" w:type="dxa"/>
            <w:vMerge w:val="restart"/>
            <w:vAlign w:val="center"/>
          </w:tcPr>
          <w:p w14:paraId="137F4C3C">
            <w:pPr>
              <w:pStyle w:val="6"/>
              <w:spacing w:before="78" w:line="221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自然灾害类</w:t>
            </w:r>
          </w:p>
        </w:tc>
        <w:tc>
          <w:tcPr>
            <w:tcW w:w="1963" w:type="dxa"/>
            <w:vAlign w:val="center"/>
          </w:tcPr>
          <w:p w14:paraId="3CF4A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森林草原防灭火组</w:t>
            </w:r>
          </w:p>
        </w:tc>
        <w:tc>
          <w:tcPr>
            <w:tcW w:w="6483" w:type="dxa"/>
            <w:vAlign w:val="center"/>
          </w:tcPr>
          <w:p w14:paraId="22559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森林草原火情监测研判、森林草原火源管控防范、森林草原火情风险辨识等专业。</w:t>
            </w:r>
          </w:p>
        </w:tc>
      </w:tr>
      <w:tr w14:paraId="6E916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2120" w:type="dxa"/>
            <w:vMerge w:val="continue"/>
            <w:vAlign w:val="center"/>
          </w:tcPr>
          <w:p w14:paraId="0B898049">
            <w:pPr>
              <w:pStyle w:val="6"/>
              <w:spacing w:before="78" w:line="221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963" w:type="dxa"/>
            <w:vAlign w:val="center"/>
          </w:tcPr>
          <w:p w14:paraId="1F815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气象组</w:t>
            </w:r>
          </w:p>
        </w:tc>
        <w:tc>
          <w:tcPr>
            <w:tcW w:w="6483" w:type="dxa"/>
            <w:vAlign w:val="center"/>
          </w:tcPr>
          <w:p w14:paraId="18460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气象学、气候学、大气物理学与大气环境、气象灾害防御、大气科学技术、应用气象技术、雷电防护技术等专业。</w:t>
            </w:r>
          </w:p>
        </w:tc>
      </w:tr>
      <w:tr w14:paraId="768D8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2120" w:type="dxa"/>
            <w:vMerge w:val="continue"/>
            <w:vAlign w:val="center"/>
          </w:tcPr>
          <w:p w14:paraId="4BC628FB">
            <w:pPr>
              <w:pStyle w:val="6"/>
              <w:spacing w:before="78" w:line="221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963" w:type="dxa"/>
            <w:vAlign w:val="center"/>
          </w:tcPr>
          <w:p w14:paraId="2B90D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防汛抗旱</w:t>
            </w:r>
          </w:p>
        </w:tc>
        <w:tc>
          <w:tcPr>
            <w:tcW w:w="6483" w:type="dxa"/>
            <w:vAlign w:val="center"/>
          </w:tcPr>
          <w:p w14:paraId="44F3D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水利工程、饮水和灌溉工程、水文学与资源、水力学及河流动力、水工结构工程、给水排水工程、城市内涝、水库调度、河道防洪等专业。</w:t>
            </w:r>
          </w:p>
        </w:tc>
      </w:tr>
      <w:tr w14:paraId="582D6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2120" w:type="dxa"/>
            <w:vMerge w:val="continue"/>
            <w:tcBorders>
              <w:bottom w:val="nil"/>
            </w:tcBorders>
            <w:vAlign w:val="center"/>
          </w:tcPr>
          <w:p w14:paraId="6001B930">
            <w:pPr>
              <w:pStyle w:val="6"/>
              <w:spacing w:before="78" w:line="221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963" w:type="dxa"/>
            <w:vAlign w:val="center"/>
          </w:tcPr>
          <w:p w14:paraId="6A643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地震地质组</w:t>
            </w:r>
          </w:p>
        </w:tc>
        <w:tc>
          <w:tcPr>
            <w:tcW w:w="6483" w:type="dxa"/>
            <w:vAlign w:val="center"/>
          </w:tcPr>
          <w:p w14:paraId="4B405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地震观测与信息技术、震情分析与预测、水文地质工程、地质环境、岩土力学、滑坡、崩塌、泥石流、地面沉降、塌陷等专业。</w:t>
            </w:r>
          </w:p>
        </w:tc>
      </w:tr>
      <w:tr w14:paraId="6ED78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2120" w:type="dxa"/>
            <w:vMerge w:val="restart"/>
            <w:tcBorders>
              <w:bottom w:val="nil"/>
            </w:tcBorders>
            <w:vAlign w:val="center"/>
          </w:tcPr>
          <w:p w14:paraId="7D62D014">
            <w:pPr>
              <w:pStyle w:val="6"/>
              <w:spacing w:before="78" w:line="221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应急救援类</w:t>
            </w:r>
          </w:p>
        </w:tc>
        <w:tc>
          <w:tcPr>
            <w:tcW w:w="1963" w:type="dxa"/>
            <w:vAlign w:val="center"/>
          </w:tcPr>
          <w:p w14:paraId="02C7C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应急预案组</w:t>
            </w:r>
          </w:p>
        </w:tc>
        <w:tc>
          <w:tcPr>
            <w:tcW w:w="6483" w:type="dxa"/>
            <w:vAlign w:val="center"/>
          </w:tcPr>
          <w:p w14:paraId="4DB2B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安全生产、自然灾害、应急管理类相关专业，具有应急预案编制、演练评估等工作经验。</w:t>
            </w:r>
          </w:p>
        </w:tc>
      </w:tr>
      <w:tr w14:paraId="3BF72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2120" w:type="dxa"/>
            <w:vMerge w:val="continue"/>
            <w:tcBorders>
              <w:top w:val="nil"/>
              <w:bottom w:val="nil"/>
            </w:tcBorders>
            <w:vAlign w:val="center"/>
          </w:tcPr>
          <w:p w14:paraId="33BE0976"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963" w:type="dxa"/>
            <w:vAlign w:val="center"/>
          </w:tcPr>
          <w:p w14:paraId="51A7E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抢险救援组</w:t>
            </w:r>
          </w:p>
        </w:tc>
        <w:tc>
          <w:tcPr>
            <w:tcW w:w="6483" w:type="dxa"/>
            <w:vAlign w:val="center"/>
          </w:tcPr>
          <w:p w14:paraId="6ED9F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水域搜救、建筑物倒塌救援、山地救援、危险化学品救援、矿山救援、工程抢险救援、火灾救援等专业。</w:t>
            </w:r>
          </w:p>
        </w:tc>
      </w:tr>
      <w:tr w14:paraId="13B31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2120" w:type="dxa"/>
            <w:vMerge w:val="restart"/>
            <w:vAlign w:val="center"/>
          </w:tcPr>
          <w:p w14:paraId="3C4DB884">
            <w:pPr>
              <w:spacing w:line="245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  <w:p w14:paraId="57DDD893">
            <w:pPr>
              <w:spacing w:line="245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  <w:p w14:paraId="01329827">
            <w:pPr>
              <w:spacing w:line="246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  <w:p w14:paraId="1ED25DD8">
            <w:pPr>
              <w:spacing w:line="246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  <w:p w14:paraId="2B1B25E1">
            <w:pPr>
              <w:pStyle w:val="6"/>
              <w:spacing w:before="78" w:line="220" w:lineRule="auto"/>
              <w:ind w:left="74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综合保障类</w:t>
            </w:r>
          </w:p>
        </w:tc>
        <w:tc>
          <w:tcPr>
            <w:tcW w:w="1963" w:type="dxa"/>
            <w:vAlign w:val="center"/>
          </w:tcPr>
          <w:p w14:paraId="483F2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教育培训组</w:t>
            </w:r>
          </w:p>
        </w:tc>
        <w:tc>
          <w:tcPr>
            <w:tcW w:w="6483" w:type="dxa"/>
            <w:vAlign w:val="center"/>
          </w:tcPr>
          <w:p w14:paraId="1BFEB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应急科普宣教、应急教育教材编制、应急技能培训等专业。</w:t>
            </w:r>
          </w:p>
        </w:tc>
      </w:tr>
      <w:tr w14:paraId="70EFC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2120" w:type="dxa"/>
            <w:vMerge w:val="continue"/>
            <w:vAlign w:val="center"/>
          </w:tcPr>
          <w:p w14:paraId="7694052C"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963" w:type="dxa"/>
            <w:vAlign w:val="center"/>
          </w:tcPr>
          <w:p w14:paraId="27B13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事故灾害调查评估组</w:t>
            </w:r>
          </w:p>
        </w:tc>
        <w:tc>
          <w:tcPr>
            <w:tcW w:w="6483" w:type="dxa"/>
            <w:vAlign w:val="center"/>
          </w:tcPr>
          <w:p w14:paraId="0A72E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防灾减灾科学与工程、生产安全类、自然灾害类相关专业。</w:t>
            </w:r>
          </w:p>
        </w:tc>
      </w:tr>
      <w:tr w14:paraId="0EBB4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2120" w:type="dxa"/>
            <w:vMerge w:val="continue"/>
            <w:vAlign w:val="center"/>
          </w:tcPr>
          <w:p w14:paraId="203A817A"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963" w:type="dxa"/>
            <w:vAlign w:val="center"/>
          </w:tcPr>
          <w:p w14:paraId="40D50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科技装备组</w:t>
            </w:r>
          </w:p>
        </w:tc>
        <w:tc>
          <w:tcPr>
            <w:tcW w:w="6483" w:type="dxa"/>
            <w:vAlign w:val="center"/>
          </w:tcPr>
          <w:p w14:paraId="7C086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无人机、特种车辆、救援装备、个人防护装备、特种作业实操考试设备等专业。</w:t>
            </w:r>
          </w:p>
        </w:tc>
      </w:tr>
      <w:tr w14:paraId="7A31C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2120" w:type="dxa"/>
            <w:vMerge w:val="continue"/>
            <w:vAlign w:val="center"/>
          </w:tcPr>
          <w:p w14:paraId="6EC17A15"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963" w:type="dxa"/>
            <w:vAlign w:val="center"/>
          </w:tcPr>
          <w:p w14:paraId="45E74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信息化组</w:t>
            </w:r>
          </w:p>
        </w:tc>
        <w:tc>
          <w:tcPr>
            <w:tcW w:w="6483" w:type="dxa"/>
            <w:vAlign w:val="center"/>
          </w:tcPr>
          <w:p w14:paraId="3B938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计算机科学与技术、网络工程、通信工程、软件工程、数据科学与大数据技术、遥感技术、AI、信息产业与投资、信息化规划、指挥体系、电子政务、信息安全、电子信息技术、计算机信息处理与应用等专业。</w:t>
            </w:r>
          </w:p>
        </w:tc>
      </w:tr>
      <w:tr w14:paraId="0D1D8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2120" w:type="dxa"/>
            <w:vMerge w:val="continue"/>
            <w:vAlign w:val="center"/>
          </w:tcPr>
          <w:p w14:paraId="58A329FB"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963" w:type="dxa"/>
            <w:vAlign w:val="center"/>
          </w:tcPr>
          <w:p w14:paraId="04BFC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政策法规组</w:t>
            </w:r>
          </w:p>
        </w:tc>
        <w:tc>
          <w:tcPr>
            <w:tcW w:w="6483" w:type="dxa"/>
            <w:vAlign w:val="center"/>
          </w:tcPr>
          <w:p w14:paraId="0B5FB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法律实务、法律理论、行政管理等专业。</w:t>
            </w:r>
          </w:p>
        </w:tc>
      </w:tr>
    </w:tbl>
    <w:p w14:paraId="69342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4B4471"/>
    <w:rsid w:val="060455DC"/>
    <w:rsid w:val="09127300"/>
    <w:rsid w:val="23534B15"/>
    <w:rsid w:val="322256B0"/>
    <w:rsid w:val="454B4471"/>
    <w:rsid w:val="544107E1"/>
    <w:rsid w:val="7877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3529</Words>
  <Characters>3599</Characters>
  <Lines>0</Lines>
  <Paragraphs>0</Paragraphs>
  <TotalTime>4</TotalTime>
  <ScaleCrop>false</ScaleCrop>
  <LinksUpToDate>false</LinksUpToDate>
  <CharactersWithSpaces>3694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2026-09-16T01:05:00Z</dcterms:created>
  <dc:creator>小玩家爱吃肉</dc:creator>
  <cp:lastModifiedBy>小玩家爱吃肉</cp:lastModifiedBy>
  <dcterms:modified xsi:type="dcterms:W3CDTF">2026-09-16T03:31:07Z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21A7C91AF9E9434D9EFD118006576670_11</vt:lpwstr>
  </property>
  <property fmtid="{D5CDD505-2E9C-101B-9397-08002B2CF9AE}" pid="4" name="KSOTemplateDocerSaveRecord">
    <vt:lpwstr>eyJoZGlkIjoiYTA4NTdhZTg4YTFhMjQ0OWM5OTY2ZmMxOGU1ZDZhMmUiLCJ1c2VySWQiOiIzNTU0NDMwMzYifQ==</vt:lpwstr>
  </property>
</Properties>
</file>